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48458F">
        <w:rPr>
          <w:rFonts w:cstheme="minorHAnsi"/>
        </w:rPr>
        <w:t xml:space="preserve">1 </w:t>
      </w:r>
      <w:r w:rsidR="0029504F">
        <w:rPr>
          <w:rFonts w:cstheme="minorHAnsi"/>
        </w:rPr>
        <w:t>полугодие</w:t>
      </w:r>
      <w:r w:rsidR="0048458F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DA743C">
        <w:rPr>
          <w:rFonts w:cstheme="minorHAnsi"/>
        </w:rPr>
        <w:t>2</w:t>
      </w:r>
      <w:r w:rsidR="004A63B6">
        <w:rPr>
          <w:rFonts w:cstheme="minorHAnsi"/>
        </w:rPr>
        <w:t>3</w:t>
      </w:r>
      <w:r>
        <w:rPr>
          <w:rFonts w:cstheme="minorHAnsi"/>
        </w:rPr>
        <w:t xml:space="preserve"> год</w:t>
      </w:r>
      <w:r w:rsidR="0048458F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6C14CF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1 </w:t>
            </w:r>
            <w:r w:rsidR="0029504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полугодие </w:t>
            </w: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</w:t>
            </w:r>
            <w:r w:rsidR="004A63B6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3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9504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23 731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9504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22 113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29504F" w:rsidP="002950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9504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29504F" w:rsidP="004A63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9504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1 142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9504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2950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29504F">
              <w:rPr>
                <w:rFonts w:ascii="Calibri" w:hAnsi="Calibri"/>
                <w:color w:val="000000"/>
              </w:rPr>
              <w:t>7</w:t>
            </w:r>
            <w:bookmarkStart w:id="0" w:name="_GoBack"/>
            <w:bookmarkEnd w:id="0"/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80BF1"/>
    <w:rsid w:val="001E0FE1"/>
    <w:rsid w:val="002836FA"/>
    <w:rsid w:val="00286828"/>
    <w:rsid w:val="0029504F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8458F"/>
    <w:rsid w:val="004A63B6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61AA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полугодие 2023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1142.47985419</c:v>
                </c:pt>
                <c:pt idx="1">
                  <c:v>22113.221603199669</c:v>
                </c:pt>
                <c:pt idx="2">
                  <c:v>162.35531</c:v>
                </c:pt>
                <c:pt idx="3">
                  <c:v>313.16322835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22C6-E296-4061-8C52-38320370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22</cp:revision>
  <dcterms:created xsi:type="dcterms:W3CDTF">2018-05-16T12:25:00Z</dcterms:created>
  <dcterms:modified xsi:type="dcterms:W3CDTF">2023-08-18T12:34:00Z</dcterms:modified>
</cp:coreProperties>
</file>